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383629</wp:posOffset>
                </wp:positionH>
                <wp:positionV relativeFrom="page">
                  <wp:posOffset>1535546</wp:posOffset>
                </wp:positionV>
                <wp:extent cx="4973776" cy="39398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6" cy="393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 Si l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on peut concevoir les mots comme l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analogue immat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s-ES_tradnl"/>
                              </w:rPr>
                              <w:t xml:space="preserve">riel de la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 xml:space="preserve">devise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qui 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gle les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changes entre les hommes, on concevra sans peine que le pouvoir 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el n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est autre que celui de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battre monnaie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: celui de forger les mots. S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il faut que les mots soient le 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gulateur de l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change des id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pt-PT"/>
                              </w:rPr>
                              <w:t>es (de m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ê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me que la monnaie physique serait celui de l</w:t>
                            </w:r>
                            <w:r>
                              <w:rPr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change des biens), alors le v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ritable enjeu de la domination consistera n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cessairement dans la ma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î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trise du processus de fa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ç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onnement et de circulation des mots.</w:t>
                            </w:r>
                            <w:r>
                              <w:rPr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Corps"/>
                              <w:ind w:left="785"/>
                              <w:jc w:val="center"/>
                            </w:pPr>
                            <w:r/>
                          </w:p>
                          <w:p>
                            <w:pPr>
                              <w:pStyle w:val="Corps"/>
                              <w:spacing w:line="240" w:lineRule="auto"/>
                              <w:ind w:left="438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ric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 M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athieu,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Jamais sans ma novlangue !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Vade-mecum de la propagande (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dagogie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) au XXI</w:t>
                            </w:r>
                            <w:r>
                              <w:rPr>
                                <w:rStyle w:val="Aucun"/>
                                <w:position w:val="8"/>
                                <w:sz w:val="18"/>
                                <w:szCs w:val="18"/>
                                <w:rtl w:val="0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sie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rtl w:val="0"/>
                              </w:rPr>
                              <w:t>̀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cle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rStyle w:val="Hyperlink.0"/>
                                <w:sz w:val="18"/>
                                <w:szCs w:val="1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18"/>
                                <w:szCs w:val="18"/>
                              </w:rPr>
                              <w:instrText xml:space="preserve"> HYPERLINK "http://www.fredericmathieu.fr"</w:instrText>
                            </w:r>
                            <w:r>
                              <w:rPr>
                                <w:rStyle w:val="Hyperlink.0"/>
                                <w:sz w:val="18"/>
                                <w:szCs w:val="1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http://www.fredericmathieu.fr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 w:fldLock="0"/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V. 2 - 04/2015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spacing w:line="240" w:lineRule="auto"/>
                              <w:ind w:left="438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 xml:space="preserve">Nombreux sont les exemples de mots qui se forgent et qui , soudain,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clairent d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un coup de projecteur certains pans du r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el rest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s invisibles. La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«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charge mentale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»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, par exemple, n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en existait pas moins mais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tait bien moins perceptible avant d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’ê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tre par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e d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un nom si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vocateur. Parler de blanchit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, c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est mettre l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accent sur la construction culturelle de ce qu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on pensait par d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faut comme biologique.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>Mais blanchit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, est-ce blanchitude ? Et f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micide, est-ce f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minicide ? En artisans pr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cautionneux, vous vous attacherez aux d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tails qui rendront vos mots puissamment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clairants. Quelle r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alit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invisibilis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e allez-vous jeter en pleine lumi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re 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.2pt;margin-top:120.9pt;width:391.6pt;height:31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 Si l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on peut concevoir les mots comme l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analogue immat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es-ES_tradnl"/>
                        </w:rPr>
                        <w:t xml:space="preserve">riel de la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 xml:space="preserve">devise </w:t>
                      </w:r>
                      <w:r>
                        <w:rPr>
                          <w:i w:val="1"/>
                          <w:iCs w:val="1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qui 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gle les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changes entre les hommes, on concevra sans peine que le pouvoir 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it-IT"/>
                        </w:rPr>
                        <w:t>el n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est autre que celui de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 xml:space="preserve">battre monnaie </w:t>
                      </w:r>
                      <w:r>
                        <w:rPr>
                          <w:i w:val="1"/>
                          <w:iCs w:val="1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: celui de forger les mots. S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il faut que les mots soient le 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gulateur de l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change des id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pt-PT"/>
                        </w:rPr>
                        <w:t>es (de m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ê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me que la monnaie physique serait celui de l</w:t>
                      </w:r>
                      <w:r>
                        <w:rPr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change des biens), alors le v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ritable enjeu de la domination consistera n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cessairement dans la ma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î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trise du processus de fa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ç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onnement et de circulation des mots.</w:t>
                      </w:r>
                      <w:r>
                        <w:rPr>
                          <w:i w:val="1"/>
                          <w:iCs w:val="1"/>
                        </w:rPr>
                      </w:r>
                    </w:p>
                    <w:p>
                      <w:pPr>
                        <w:pStyle w:val="Corps"/>
                        <w:ind w:left="785"/>
                        <w:jc w:val="center"/>
                      </w:pPr>
                      <w:r/>
                    </w:p>
                    <w:p>
                      <w:pPr>
                        <w:pStyle w:val="Corps"/>
                        <w:spacing w:line="240" w:lineRule="auto"/>
                        <w:ind w:left="4385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ric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 M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 xml:space="preserve">athieu, </w:t>
                      </w:r>
                      <w:r>
                        <w:rPr>
                          <w:rStyle w:val="Aucun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Jamais sans ma novlangue !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Vade-mecum de la propagande (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«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pe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rtl w:val="0"/>
                        </w:rPr>
                        <w:t>́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dagogie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) au XXI</w:t>
                      </w:r>
                      <w:r>
                        <w:rPr>
                          <w:rStyle w:val="Aucun"/>
                          <w:position w:val="8"/>
                          <w:sz w:val="18"/>
                          <w:szCs w:val="18"/>
                          <w:rtl w:val="0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sie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rtl w:val="0"/>
                        </w:rPr>
                        <w:t>̀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cle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 xml:space="preserve">, </w:t>
                      </w:r>
                      <w:r>
                        <w:rPr>
                          <w:rStyle w:val="Hyperlink.0"/>
                          <w:sz w:val="18"/>
                          <w:szCs w:val="1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18"/>
                          <w:szCs w:val="18"/>
                        </w:rPr>
                        <w:instrText xml:space="preserve"> HYPERLINK "http://www.fredericmathieu.fr"</w:instrText>
                      </w:r>
                      <w:r>
                        <w:rPr>
                          <w:rStyle w:val="Hyperlink.0"/>
                          <w:sz w:val="18"/>
                          <w:szCs w:val="1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18"/>
                          <w:szCs w:val="18"/>
                          <w:rtl w:val="0"/>
                          <w:lang w:val="en-US"/>
                        </w:rPr>
                        <w:t>http://www.fredericmathieu.fr</w:t>
                      </w:r>
                      <w:r>
                        <w:rPr>
                          <w:sz w:val="18"/>
                          <w:szCs w:val="18"/>
                        </w:rPr>
                        <w:fldChar w:fldCharType="end" w:fldLock="0"/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V. 2 - 04/2015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.</w:t>
                      </w:r>
                    </w:p>
                    <w:p>
                      <w:pPr>
                        <w:pStyle w:val="Corps"/>
                        <w:spacing w:line="240" w:lineRule="auto"/>
                        <w:ind w:left="4385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nl-NL"/>
                        </w:rPr>
                        <w:t xml:space="preserve">Nombreux sont les exemples de mots qui se forgent et qui , soudain, 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clairent d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>un coup de projecteur certains pans du r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el rest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 xml:space="preserve">s invisibles. La </w:t>
                      </w:r>
                      <w:r>
                        <w:rPr>
                          <w:rtl w:val="0"/>
                          <w:lang w:val="nl-NL"/>
                        </w:rPr>
                        <w:t xml:space="preserve">« </w:t>
                      </w:r>
                      <w:r>
                        <w:rPr>
                          <w:rtl w:val="0"/>
                          <w:lang w:val="nl-NL"/>
                        </w:rPr>
                        <w:t xml:space="preserve">charge mentale </w:t>
                      </w:r>
                      <w:r>
                        <w:rPr>
                          <w:rtl w:val="0"/>
                          <w:lang w:val="nl-NL"/>
                        </w:rPr>
                        <w:t>»</w:t>
                      </w:r>
                      <w:r>
                        <w:rPr>
                          <w:rtl w:val="0"/>
                          <w:lang w:val="nl-NL"/>
                        </w:rPr>
                        <w:t>, par exemple, n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 xml:space="preserve">en existait pas moins mais 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tait bien moins perceptible avant d</w:t>
                      </w:r>
                      <w:r>
                        <w:rPr>
                          <w:rtl w:val="0"/>
                          <w:lang w:val="nl-NL"/>
                        </w:rPr>
                        <w:t>’ê</w:t>
                      </w:r>
                      <w:r>
                        <w:rPr>
                          <w:rtl w:val="0"/>
                          <w:lang w:val="nl-NL"/>
                        </w:rPr>
                        <w:t>tre par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e d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 xml:space="preserve">un nom si 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vocateur. Parler de blanchit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, c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>est mettre l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>accent sur la construction culturelle de ce qu</w:t>
                      </w:r>
                      <w:r>
                        <w:rPr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>on pensait par d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 xml:space="preserve">faut comme biologique.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nl-NL"/>
                        </w:rPr>
                        <w:t>Mais blanchit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, est-ce blanchitude ? Et f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micide, est-ce f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minicide ? En artisans pr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cautionneux, vous vous attacherez aux d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 xml:space="preserve">tails qui rendront vos mots puissamment 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clairants. Quelle r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alit</w:t>
                      </w:r>
                      <w:r>
                        <w:rPr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tl w:val="0"/>
                          <w:lang w:val="nl-NL"/>
                        </w:rPr>
                        <w:t>invisibilis</w:t>
                      </w:r>
                      <w:r>
                        <w:rPr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tl w:val="0"/>
                          <w:lang w:val="nl-NL"/>
                        </w:rPr>
                        <w:t>e allez-vous jeter en pleine lumi</w:t>
                      </w:r>
                      <w:r>
                        <w:rPr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rtl w:val="0"/>
                          <w:lang w:val="nl-NL"/>
                        </w:rPr>
                        <w:t>re ?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359255</wp:posOffset>
                </wp:positionH>
                <wp:positionV relativeFrom="page">
                  <wp:posOffset>360300</wp:posOffset>
                </wp:positionV>
                <wp:extent cx="5050567" cy="7133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56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pr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-suff-isme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397.7pt;height:5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pr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-suff-isme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534714</wp:posOffset>
                </wp:positionH>
                <wp:positionV relativeFrom="page">
                  <wp:posOffset>5751612</wp:posOffset>
                </wp:positionV>
                <wp:extent cx="4738937" cy="139751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13975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Identifiez, dans la vie quotidienne, quelque chose qui vous 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volte et ne porte pas vraiment de nom.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ez le nom que vous y donneriez.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Pour vous aider, vous trouverez dans cette enveloppe tout une s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rie de pr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fixes et de suffixes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assembler pour faire varier le sens de votre mot : les associations ont parfois des 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sultats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tonnants.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1pt;margin-top:452.9pt;width:373.1pt;height:11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Identifiez, dans la vie quotidienne, quelque chose qui vous 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volte et ne porte pas vraiment de nom.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Cr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ez le nom que vous y donneriez.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Pour vous aider, vous trouverez dans cette enveloppe tout une s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rie de pr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fixes et de suffixes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assembler pour faire varier le sens de votre mot : les associations ont parfois des 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sultats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tonnants.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7182940</wp:posOffset>
                </wp:positionV>
                <wp:extent cx="5062702" cy="48564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Choisissez qui explicitera le mot collectif devant tout le monde lors du tour commun.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65.6pt;width:398.6pt;height:38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Choisissez qui explicitera le mot collectif devant tout le monde lors du tour commun.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