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396987</wp:posOffset>
                </wp:positionH>
                <wp:positionV relativeFrom="page">
                  <wp:posOffset>1636776</wp:posOffset>
                </wp:positionV>
                <wp:extent cx="4969734" cy="439070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734" cy="4390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force de se concentrer uniquement sur la forme, on finit par ne plus rien dire. A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nalys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ons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pt-PT"/>
                              </w:rPr>
                              <w:t>es stratag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mes utilis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 par Eddy Malou pour construire sa fausse complexit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. Vous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noterez les strat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gies suivantes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–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et y trouverez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quelques lignes de forces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pour soutenir une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ventuelle imitation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es jeux sur les allit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rations (prestance comme prestation, pas de vision sans pr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vision, cadrer et encadrer les encadrants)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;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int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gration de mots latin (compendium, tripalium) ou anglais (si possible 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rement transform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s :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outside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devient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outsiding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et est coupl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insiding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- c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est tout de suite plus fort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;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ajout de quelques chiffres (avec des virgules, des fractions)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;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uelques expressions du genre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ce que l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on appelle...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ou des juxtapositions rapides gr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â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ce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un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est-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-dire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ens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 expliquer une formule que l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on rend ensuite plus compliqu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 encore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;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usage de signes (GPS)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;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uelques mots tr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 complexes et jargonnants (sous-r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gionalit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congolexicomatisation, bijectivit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é…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;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Le tout assaisonn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 xml:space="preserve"> de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«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 xml:space="preserve">est clair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culpabilisants puisque, logiquement vous ne comprenez rien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3pt;margin-top:128.9pt;width:391.3pt;height:345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force de se concentrer uniquement sur la forme, on finit par ne plus rien dire. A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nalys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ons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tl w:val="0"/>
                          <w:lang w:val="pt-PT"/>
                        </w:rPr>
                        <w:t>es stratag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mes utilis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s par Eddy Malou pour construire sa fausse complexit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. Vous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 noterez les strat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gies suivantes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– 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et y trouverez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 quelques lignes de forces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 pour soutenir une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ventuelle imitation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es jeux sur les allit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rations (prestance comme prestation, pas de vision sans pr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vision, cadrer et encadrer les encadrants)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 ;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int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gration de mots latin (compendium, tripalium) ou anglais (si possible 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g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rement transform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s :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outside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devient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outsiding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et est coupl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insiding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>- c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est tout de suite plus fort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;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ajout de quelques chiffres (avec des virgules, des fractions)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;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uelques expressions du genre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sz w:val="28"/>
                          <w:szCs w:val="28"/>
                          <w:rtl w:val="0"/>
                          <w:lang w:val="es-ES_tradnl"/>
                        </w:rPr>
                        <w:t>ce que l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on appelle...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ou des juxtapositions rapides gr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â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ce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 à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 un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est-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à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-dire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ens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 expliquer une formule que l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on rend ensuite plus compliqu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e encore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 ;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usage de signes (GPS)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 xml:space="preserve"> ;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Q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uelques mots tr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s complexes et jargonnants (sous-r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>gionalit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congolexicomatisation, bijectivit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é…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;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Le tout assaisonn</w:t>
                      </w:r>
                      <w:r>
                        <w:rPr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rtl w:val="0"/>
                          <w:lang w:val="es-ES_tradnl"/>
                        </w:rPr>
                        <w:t xml:space="preserve"> de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«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 xml:space="preserve">est clair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rtl w:val="0"/>
                          <w:lang w:val="fr-FR"/>
                        </w:rPr>
                        <w:t>culpabilisants puisque, logiquement vous ne comprenez rien 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309500</wp:posOffset>
                </wp:positionV>
                <wp:extent cx="4812889" cy="6828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89" cy="682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fr-FR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Fonts w:ascii="SteelfishRg-Italic" w:hAnsi="SteelfishRg-Italic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discours en sur-langue de bois</w:t>
                            </w:r>
                            <w:r>
                              <w:rPr>
                                <w:rFonts w:ascii="SteelfishRg-Italic" w:hAnsi="SteelfishRg-Italic" w:hint="default"/>
                                <w:b w:val="0"/>
                                <w:bCs w:val="0"/>
                                <w:outline w:val="0"/>
                                <w:color w:val="245564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.0pt;margin-top:24.4pt;width:379.0pt;height:53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fr-FR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Fonts w:ascii="SteelfishRg-Italic" w:hAnsi="SteelfishRg-Italic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discours en sur-langue de bois</w:t>
                      </w:r>
                      <w:r>
                        <w:rPr>
                          <w:rFonts w:ascii="SteelfishRg-Italic" w:hAnsi="SteelfishRg-Italic" w:hint="default"/>
                          <w:b w:val="0"/>
                          <w:bCs w:val="0"/>
                          <w:outline w:val="0"/>
                          <w:color w:val="245564"/>
                          <w:sz w:val="72"/>
                          <w:szCs w:val="72"/>
                          <w:rtl w:val="0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6203934</wp:posOffset>
                </wp:positionV>
                <wp:extent cx="4320000" cy="55381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53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R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digez un texte tous ensemble utilisant toutes les strat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gies relev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es ci-dessus.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488.5pt;width:340.2pt;height:43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R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digez un texte tous ensemble utilisant toutes les strat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gies relev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es ci-dessus.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0" cy="38188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0" cy="38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7086600</wp:posOffset>
                </wp:positionV>
                <wp:extent cx="5062702" cy="48564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4856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Choisissez qui lira le texte collectif devant tout le monde lors du tour commun.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58.0pt;width:398.6pt;height:38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Choisissez qui lira le texte collectif devant tout le monde lors du tour commun.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9071" w:h="13606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SteelfishRg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